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lgerian" w:hAnsi="Algerian"/>
          <w:sz w:val="16"/>
          <w:szCs w:val="16"/>
        </w:rPr>
        <w:id w:val="2120254665"/>
        <w:docPartObj>
          <w:docPartGallery w:val="Cover Pages"/>
          <w:docPartUnique/>
        </w:docPartObj>
      </w:sdtPr>
      <w:sdtEndPr>
        <w:rPr>
          <w:rFonts w:ascii="Bahnschrift Condensed" w:hAnsi="Bahnschrift Condensed"/>
          <w:sz w:val="22"/>
          <w:szCs w:val="22"/>
        </w:rPr>
      </w:sdtEndPr>
      <w:sdtContent>
        <w:p w:rsidR="00364EA0" w:rsidRPr="00F75E51" w:rsidRDefault="00364EA0" w:rsidP="00364EA0">
          <w:pPr>
            <w:spacing w:line="240" w:lineRule="auto"/>
            <w:jc w:val="center"/>
            <w:rPr>
              <w:rStyle w:val="a4"/>
              <w:rFonts w:ascii="Algerian" w:hAnsi="Algerian"/>
              <w:sz w:val="16"/>
              <w:szCs w:val="16"/>
            </w:rPr>
          </w:pPr>
          <w:r w:rsidRPr="00F75E51">
            <w:rPr>
              <w:rFonts w:ascii="Algerian" w:hAnsi="Algerian"/>
              <w:sz w:val="16"/>
              <w:szCs w:val="16"/>
            </w:rPr>
            <w:t>Université Echahid Hamma lakhdar-El Oued</w:t>
          </w:r>
        </w:p>
        <w:p w:rsidR="00364EA0" w:rsidRPr="00F75E51" w:rsidRDefault="00364EA0" w:rsidP="00364EA0">
          <w:pPr>
            <w:spacing w:line="240" w:lineRule="auto"/>
            <w:jc w:val="center"/>
            <w:rPr>
              <w:rFonts w:ascii="Algerian" w:hAnsi="Algerian"/>
              <w:sz w:val="16"/>
              <w:szCs w:val="16"/>
            </w:rPr>
          </w:pPr>
          <w:r w:rsidRPr="00F75E51">
            <w:rPr>
              <w:rFonts w:ascii="Algerian" w:hAnsi="Algerian"/>
              <w:sz w:val="16"/>
              <w:szCs w:val="16"/>
            </w:rPr>
            <w:t xml:space="preserve">Faculté des </w:t>
          </w:r>
          <w:r w:rsidR="00F75E51" w:rsidRPr="00F75E51">
            <w:rPr>
              <w:rFonts w:ascii="Algerian" w:hAnsi="Algerian"/>
              <w:sz w:val="16"/>
              <w:szCs w:val="16"/>
            </w:rPr>
            <w:t xml:space="preserve">lettres </w:t>
          </w:r>
          <w:r w:rsidRPr="00F75E51">
            <w:rPr>
              <w:rFonts w:ascii="Algerian" w:hAnsi="Algerian"/>
              <w:sz w:val="16"/>
              <w:szCs w:val="16"/>
            </w:rPr>
            <w:t xml:space="preserve">et des langues </w:t>
          </w:r>
        </w:p>
        <w:p w:rsidR="00A8489C" w:rsidRPr="00F75E51" w:rsidRDefault="00364EA0" w:rsidP="00A8489C">
          <w:pPr>
            <w:spacing w:line="240" w:lineRule="auto"/>
            <w:jc w:val="center"/>
            <w:rPr>
              <w:rFonts w:ascii="Algerian" w:hAnsi="Algerian"/>
              <w:sz w:val="16"/>
              <w:szCs w:val="16"/>
            </w:rPr>
          </w:pPr>
          <w:r w:rsidRPr="00F75E51">
            <w:rPr>
              <w:rFonts w:ascii="Algerian" w:hAnsi="Algerian"/>
              <w:sz w:val="16"/>
              <w:szCs w:val="16"/>
            </w:rPr>
            <w:t xml:space="preserve">Département des lettres et </w:t>
          </w:r>
          <w:r w:rsidR="00406BFC" w:rsidRPr="00F75E51">
            <w:rPr>
              <w:rFonts w:ascii="Algerian" w:hAnsi="Algerian"/>
              <w:sz w:val="16"/>
              <w:szCs w:val="16"/>
            </w:rPr>
            <w:t xml:space="preserve">de </w:t>
          </w:r>
          <w:r w:rsidRPr="00F75E51">
            <w:rPr>
              <w:rFonts w:ascii="Algerian" w:hAnsi="Algerian"/>
              <w:sz w:val="16"/>
              <w:szCs w:val="16"/>
            </w:rPr>
            <w:t>langue française</w:t>
          </w:r>
        </w:p>
        <w:p w:rsidR="00A8489C" w:rsidRDefault="00A8489C" w:rsidP="00A8489C">
          <w:pPr>
            <w:spacing w:line="240" w:lineRule="auto"/>
            <w:jc w:val="center"/>
            <w:rPr>
              <w:rFonts w:ascii="Bahnschrift Condensed" w:hAnsi="Bahnschrift Condensed"/>
            </w:rPr>
          </w:pPr>
          <w:r>
            <w:rPr>
              <w:rFonts w:ascii="Bahnschrift Condensed" w:hAnsi="Bahnschrift Condensed"/>
            </w:rPr>
            <w:t>++++++++</w:t>
          </w:r>
        </w:p>
        <w:p w:rsidR="00343A27" w:rsidRDefault="00A8489C" w:rsidP="00D147DC">
          <w:pPr>
            <w:spacing w:line="240" w:lineRule="auto"/>
            <w:jc w:val="both"/>
            <w:rPr>
              <w:rFonts w:ascii="Bahnschrift Condensed" w:hAnsi="Bahnschrift Condensed"/>
            </w:rPr>
          </w:pPr>
          <w:r>
            <w:rPr>
              <w:rFonts w:ascii="Bahnschrift Condensed" w:hAnsi="Bahnschrift Condensed"/>
            </w:rPr>
            <w:t xml:space="preserve">Module ; </w:t>
          </w:r>
          <w:r w:rsidR="00D147DC">
            <w:rPr>
              <w:rFonts w:ascii="Bahnschrift Condensed" w:hAnsi="Bahnschrift Condensed"/>
            </w:rPr>
            <w:t xml:space="preserve">Ingénierie de l’éducation </w:t>
          </w:r>
          <w:r>
            <w:rPr>
              <w:rFonts w:ascii="Bahnschrift Condensed" w:hAnsi="Bahnschrift Condensed"/>
            </w:rPr>
            <w:t xml:space="preserve">                               </w:t>
          </w:r>
          <w:r>
            <w:rPr>
              <w:rFonts w:ascii="Bahnschrift Condensed" w:hAnsi="Bahnschrift Condensed"/>
            </w:rPr>
            <w:tab/>
          </w:r>
          <w:r>
            <w:rPr>
              <w:rFonts w:ascii="Bahnschrift Condensed" w:hAnsi="Bahnschrift Condensed"/>
            </w:rPr>
            <w:tab/>
          </w:r>
          <w:r>
            <w:rPr>
              <w:rFonts w:ascii="Bahnschrift Condensed" w:hAnsi="Bahnschrift Condensed"/>
            </w:rPr>
            <w:tab/>
          </w:r>
          <w:r w:rsidR="00F75E51">
            <w:rPr>
              <w:rFonts w:ascii="Bahnschrift Condensed" w:hAnsi="Bahnschrift Condensed"/>
            </w:rPr>
            <w:t xml:space="preserve">      </w:t>
          </w:r>
          <w:r w:rsidR="00F75E51">
            <w:rPr>
              <w:rFonts w:ascii="Bahnschrift Condensed" w:hAnsi="Bahnschrift Condensed"/>
            </w:rPr>
            <w:tab/>
          </w:r>
          <w:r w:rsidR="00F75E51">
            <w:rPr>
              <w:rFonts w:ascii="Bahnschrift Condensed" w:hAnsi="Bahnschrift Condensed"/>
            </w:rPr>
            <w:tab/>
          </w:r>
          <w:r>
            <w:rPr>
              <w:rFonts w:ascii="Bahnschrift Condensed" w:hAnsi="Bahnschrift Condensed"/>
            </w:rPr>
            <w:tab/>
          </w:r>
          <w:r>
            <w:rPr>
              <w:rFonts w:ascii="Bahnschrift Condensed" w:hAnsi="Bahnschrift Condensed"/>
            </w:rPr>
            <w:tab/>
            <w:t>Niveau ; Master 2</w:t>
          </w:r>
        </w:p>
        <w:p w:rsidR="00364EA0" w:rsidRPr="00A8489C" w:rsidRDefault="00343A27" w:rsidP="00343A27">
          <w:pPr>
            <w:spacing w:line="240" w:lineRule="auto"/>
            <w:jc w:val="center"/>
            <w:rPr>
              <w:rFonts w:ascii="Bahnschrift Condensed" w:hAnsi="Bahnschrift Condensed"/>
            </w:rPr>
          </w:pPr>
          <w:r w:rsidRPr="008314B9">
            <w:rPr>
              <w:rFonts w:ascii="Bahnschrift Condensed" w:hAnsi="Bahnschrift Condensed"/>
              <w:b/>
              <w:bCs/>
              <w:sz w:val="24"/>
              <w:szCs w:val="24"/>
              <w:u w:val="single"/>
            </w:rPr>
            <w:t>Corrigé-type</w:t>
          </w:r>
        </w:p>
      </w:sdtContent>
    </w:sdt>
    <w:p w:rsidR="00A8489C" w:rsidRPr="00343A27" w:rsidRDefault="00223372" w:rsidP="00343A27">
      <w:pPr>
        <w:pStyle w:val="a6"/>
        <w:numPr>
          <w:ilvl w:val="0"/>
          <w:numId w:val="1"/>
        </w:numPr>
        <w:ind w:left="-454" w:right="-454"/>
        <w:jc w:val="both"/>
        <w:rPr>
          <w:b/>
          <w:bCs/>
          <w:i/>
          <w:iCs/>
        </w:rPr>
      </w:pPr>
      <w:r w:rsidRPr="00343A27">
        <w:rPr>
          <w:b/>
          <w:bCs/>
          <w:i/>
          <w:iCs/>
        </w:rPr>
        <w:t>Répondez par</w:t>
      </w:r>
      <w:r w:rsidR="00A8489C" w:rsidRPr="00343A27">
        <w:rPr>
          <w:b/>
          <w:bCs/>
          <w:i/>
          <w:iCs/>
        </w:rPr>
        <w:t xml:space="preserve"> vrai ou faux ; </w:t>
      </w:r>
      <w:r w:rsidR="00A509AD" w:rsidRPr="00343A27">
        <w:rPr>
          <w:b/>
          <w:bCs/>
          <w:i/>
          <w:iCs/>
        </w:rPr>
        <w:t>puis expliquez</w:t>
      </w:r>
      <w:r w:rsidR="004B173B" w:rsidRPr="00343A27">
        <w:rPr>
          <w:b/>
          <w:bCs/>
          <w:i/>
          <w:iCs/>
        </w:rPr>
        <w:t xml:space="preserve"> (12 pts)</w:t>
      </w:r>
      <w:r w:rsidR="00A8489C" w:rsidRPr="00343A27">
        <w:rPr>
          <w:b/>
          <w:bCs/>
          <w:i/>
          <w:iCs/>
        </w:rPr>
        <w:t> :</w:t>
      </w:r>
    </w:p>
    <w:p w:rsidR="00D24A29" w:rsidRDefault="00D24A29" w:rsidP="00F75E51">
      <w:pPr>
        <w:pStyle w:val="a6"/>
        <w:ind w:left="-454" w:right="-454"/>
        <w:jc w:val="both"/>
        <w:rPr>
          <w:i/>
          <w:iCs/>
        </w:rPr>
      </w:pPr>
    </w:p>
    <w:p w:rsidR="00343A27" w:rsidRPr="00381652" w:rsidRDefault="00343A27" w:rsidP="00381652">
      <w:pPr>
        <w:pStyle w:val="a6"/>
        <w:ind w:left="-454" w:right="-454"/>
        <w:jc w:val="both"/>
        <w:rPr>
          <w:rFonts w:cstheme="minorHAnsi"/>
          <w:b/>
          <w:bCs/>
          <w:i/>
          <w:iCs/>
          <w:sz w:val="24"/>
          <w:szCs w:val="24"/>
        </w:rPr>
      </w:pPr>
      <w:r w:rsidRPr="00381652">
        <w:rPr>
          <w:rFonts w:cstheme="minorHAnsi"/>
          <w:b/>
          <w:bCs/>
          <w:i/>
          <w:iCs/>
          <w:sz w:val="24"/>
          <w:szCs w:val="24"/>
        </w:rPr>
        <w:t>Faux</w:t>
      </w:r>
      <w:r w:rsidR="00381652" w:rsidRPr="00381652">
        <w:rPr>
          <w:rFonts w:cstheme="minorHAnsi"/>
          <w:b/>
          <w:bCs/>
          <w:i/>
          <w:iCs/>
          <w:sz w:val="24"/>
          <w:szCs w:val="24"/>
        </w:rPr>
        <w:t xml:space="preserve"> : </w:t>
      </w:r>
      <w:r w:rsidRPr="00381652">
        <w:rPr>
          <w:rFonts w:cstheme="minorHAnsi"/>
          <w:b/>
          <w:bCs/>
          <w:i/>
          <w:iCs/>
          <w:sz w:val="24"/>
          <w:szCs w:val="24"/>
        </w:rPr>
        <w:t>C</w:t>
      </w:r>
      <w:r w:rsidR="00223372" w:rsidRPr="00381652">
        <w:rPr>
          <w:rFonts w:cstheme="minorHAnsi"/>
          <w:b/>
          <w:bCs/>
          <w:i/>
          <w:iCs/>
          <w:sz w:val="24"/>
          <w:szCs w:val="24"/>
        </w:rPr>
        <w:t>’</w:t>
      </w:r>
      <w:r w:rsidRPr="00381652">
        <w:rPr>
          <w:rFonts w:cstheme="minorHAnsi"/>
          <w:b/>
          <w:bCs/>
          <w:i/>
          <w:iCs/>
          <w:sz w:val="24"/>
          <w:szCs w:val="24"/>
        </w:rPr>
        <w:t>est bien l’</w:t>
      </w:r>
      <w:r w:rsidR="00223372" w:rsidRPr="00381652">
        <w:rPr>
          <w:rFonts w:cstheme="minorHAnsi"/>
          <w:i/>
          <w:iCs/>
          <w:sz w:val="24"/>
          <w:szCs w:val="24"/>
        </w:rPr>
        <w:t xml:space="preserve">ingénierie </w:t>
      </w:r>
      <w:r w:rsidRPr="00381652">
        <w:rPr>
          <w:rFonts w:cstheme="minorHAnsi"/>
          <w:i/>
          <w:iCs/>
          <w:sz w:val="24"/>
          <w:szCs w:val="24"/>
        </w:rPr>
        <w:t>de l’éducation qui</w:t>
      </w:r>
      <w:r w:rsidR="00223372" w:rsidRPr="00381652">
        <w:rPr>
          <w:rFonts w:cstheme="minorHAnsi"/>
          <w:i/>
          <w:iCs/>
          <w:sz w:val="24"/>
          <w:szCs w:val="24"/>
        </w:rPr>
        <w:t xml:space="preserve"> compre</w:t>
      </w:r>
      <w:r w:rsidR="0079728F" w:rsidRPr="00381652">
        <w:rPr>
          <w:rFonts w:cstheme="minorHAnsi"/>
          <w:i/>
          <w:iCs/>
          <w:sz w:val="24"/>
          <w:szCs w:val="24"/>
        </w:rPr>
        <w:t xml:space="preserve">nd l’ingénierie de formation et </w:t>
      </w:r>
      <w:r w:rsidR="00223372" w:rsidRPr="00381652">
        <w:rPr>
          <w:rFonts w:cstheme="minorHAnsi"/>
          <w:i/>
          <w:iCs/>
          <w:sz w:val="24"/>
          <w:szCs w:val="24"/>
        </w:rPr>
        <w:t xml:space="preserve">l’ingénierie </w:t>
      </w:r>
      <w:r w:rsidRPr="00381652">
        <w:rPr>
          <w:rFonts w:cstheme="minorHAnsi"/>
          <w:i/>
          <w:iCs/>
          <w:sz w:val="24"/>
          <w:szCs w:val="24"/>
        </w:rPr>
        <w:t>pédagogique</w:t>
      </w:r>
      <w:r w:rsidR="00223372" w:rsidRPr="00381652">
        <w:rPr>
          <w:rFonts w:cstheme="minorHAnsi"/>
          <w:i/>
          <w:iCs/>
          <w:sz w:val="24"/>
          <w:szCs w:val="24"/>
        </w:rPr>
        <w:t xml:space="preserve"> </w:t>
      </w:r>
      <w:r w:rsidR="00110389" w:rsidRPr="00381652">
        <w:rPr>
          <w:rFonts w:cstheme="minorHAnsi"/>
          <w:i/>
          <w:iCs/>
          <w:sz w:val="24"/>
          <w:szCs w:val="24"/>
        </w:rPr>
        <w:t>.</w:t>
      </w:r>
      <w:r w:rsidRPr="00381652">
        <w:rPr>
          <w:rFonts w:cstheme="minorHAnsi"/>
          <w:i/>
          <w:iCs/>
          <w:sz w:val="24"/>
          <w:szCs w:val="24"/>
        </w:rPr>
        <w:t xml:space="preserve">Quant à la première, elle concerne la phase de l’audit, du design, </w:t>
      </w:r>
      <w:r w:rsidR="0079728F" w:rsidRPr="00381652">
        <w:rPr>
          <w:rFonts w:cstheme="minorHAnsi"/>
          <w:sz w:val="24"/>
          <w:szCs w:val="24"/>
        </w:rPr>
        <w:t>(niveau organisationnel) et se trouve à l'interface de l'ingénierie des politiques (niveau stratégique et décisionnel) et de l'ingénierie pédagogique (niveau pédagogique : implémentation, développement, et évaluation)</w:t>
      </w:r>
      <w:r w:rsidRPr="00381652">
        <w:rPr>
          <w:rFonts w:cstheme="minorHAnsi"/>
          <w:sz w:val="28"/>
          <w:szCs w:val="28"/>
        </w:rPr>
        <w:t xml:space="preserve"> </w:t>
      </w:r>
      <w:r w:rsidRPr="00381652">
        <w:rPr>
          <w:rFonts w:cstheme="minorHAnsi"/>
          <w:sz w:val="24"/>
          <w:szCs w:val="24"/>
        </w:rPr>
        <w:t>.Aussi, l'ingénierie de l'éducation -considérée comme un système-ressource et processus modélisable-prône-t-elle le recours raisonné aux TIC et à la technologie, dont le principe est la prise en compte du maximum de variables possibles en vue d’installer un système d'action</w:t>
      </w:r>
      <w:r w:rsidR="0079728F" w:rsidRPr="00381652">
        <w:rPr>
          <w:rFonts w:cstheme="minorHAnsi"/>
          <w:sz w:val="24"/>
          <w:szCs w:val="24"/>
        </w:rPr>
        <w:t xml:space="preserve"> </w:t>
      </w:r>
      <w:r w:rsidRPr="00381652">
        <w:rPr>
          <w:rFonts w:cstheme="minorHAnsi"/>
          <w:sz w:val="24"/>
          <w:szCs w:val="24"/>
        </w:rPr>
        <w:t>judicieux. Ainsi, elle suppose une démarche prévisionnelle, la concertation avec différents partenaires, et une capacité de traduction des objectifs en actions. Elle comprend la conception, l'étude, la planification et la réalisation d'un ouvrage éducatif</w:t>
      </w:r>
      <w:r w:rsidR="0079728F" w:rsidRPr="00381652">
        <w:rPr>
          <w:rFonts w:cstheme="minorHAnsi"/>
          <w:sz w:val="24"/>
          <w:szCs w:val="24"/>
        </w:rPr>
        <w:t>.</w:t>
      </w:r>
    </w:p>
    <w:p w:rsidR="0079728F" w:rsidRPr="00381652" w:rsidRDefault="0079728F" w:rsidP="00381652">
      <w:pPr>
        <w:pStyle w:val="a6"/>
        <w:ind w:left="-454" w:right="-454"/>
        <w:jc w:val="both"/>
        <w:rPr>
          <w:rFonts w:cstheme="minorHAnsi"/>
          <w:b/>
          <w:bCs/>
          <w:i/>
          <w:iCs/>
          <w:sz w:val="24"/>
          <w:szCs w:val="24"/>
        </w:rPr>
      </w:pPr>
      <w:r w:rsidRPr="00381652">
        <w:rPr>
          <w:rFonts w:cstheme="minorHAnsi"/>
          <w:b/>
          <w:bCs/>
          <w:i/>
          <w:iCs/>
          <w:sz w:val="24"/>
          <w:szCs w:val="24"/>
        </w:rPr>
        <w:t>Faux</w:t>
      </w:r>
      <w:r w:rsidR="00381652" w:rsidRPr="00381652">
        <w:rPr>
          <w:rFonts w:cstheme="minorHAnsi"/>
          <w:b/>
          <w:bCs/>
          <w:i/>
          <w:iCs/>
          <w:sz w:val="24"/>
          <w:szCs w:val="24"/>
        </w:rPr>
        <w:t xml:space="preserve"> : </w:t>
      </w:r>
      <w:r w:rsidR="006D0D57" w:rsidRPr="00381652">
        <w:rPr>
          <w:rFonts w:cstheme="minorHAnsi"/>
          <w:b/>
          <w:bCs/>
          <w:i/>
          <w:iCs/>
          <w:sz w:val="24"/>
          <w:szCs w:val="24"/>
        </w:rPr>
        <w:t>L'i</w:t>
      </w:r>
      <w:r w:rsidRPr="00381652">
        <w:rPr>
          <w:rFonts w:cstheme="minorHAnsi"/>
          <w:i/>
          <w:iCs/>
          <w:sz w:val="24"/>
          <w:szCs w:val="24"/>
        </w:rPr>
        <w:t>ngénierie de "</w:t>
      </w:r>
      <w:r w:rsidRPr="00381652">
        <w:rPr>
          <w:rFonts w:cstheme="minorHAnsi"/>
          <w:b/>
          <w:bCs/>
          <w:i/>
          <w:iCs/>
          <w:sz w:val="24"/>
          <w:szCs w:val="24"/>
        </w:rPr>
        <w:t>ma</w:t>
      </w:r>
      <w:r w:rsidR="00223372" w:rsidRPr="00381652">
        <w:rPr>
          <w:rFonts w:cstheme="minorHAnsi"/>
          <w:b/>
          <w:bCs/>
          <w:i/>
          <w:iCs/>
          <w:sz w:val="24"/>
          <w:szCs w:val="24"/>
        </w:rPr>
        <w:t>cro-dispositifs</w:t>
      </w:r>
      <w:r w:rsidR="00223372" w:rsidRPr="00381652">
        <w:rPr>
          <w:rFonts w:cstheme="minorHAnsi"/>
          <w:i/>
          <w:iCs/>
          <w:sz w:val="24"/>
          <w:szCs w:val="24"/>
        </w:rPr>
        <w:t>" de formation</w:t>
      </w:r>
      <w:r w:rsidR="00223372" w:rsidRPr="00381652">
        <w:rPr>
          <w:rFonts w:cstheme="minorHAnsi"/>
          <w:sz w:val="24"/>
          <w:szCs w:val="24"/>
        </w:rPr>
        <w:t xml:space="preserve"> concerne tout dispositif </w:t>
      </w:r>
      <w:r w:rsidR="001538B1" w:rsidRPr="00381652">
        <w:rPr>
          <w:rFonts w:cstheme="minorHAnsi"/>
          <w:sz w:val="24"/>
          <w:szCs w:val="24"/>
        </w:rPr>
        <w:t xml:space="preserve">conçu </w:t>
      </w:r>
      <w:r w:rsidR="00223372" w:rsidRPr="00381652">
        <w:rPr>
          <w:rFonts w:cstheme="minorHAnsi"/>
          <w:sz w:val="24"/>
          <w:szCs w:val="24"/>
        </w:rPr>
        <w:t>pour un secteur économique</w:t>
      </w:r>
      <w:r w:rsidR="001538B1" w:rsidRPr="00381652">
        <w:rPr>
          <w:rFonts w:cstheme="minorHAnsi"/>
          <w:sz w:val="24"/>
          <w:szCs w:val="24"/>
        </w:rPr>
        <w:t xml:space="preserve"> ou une branche professionnelle</w:t>
      </w:r>
      <w:r w:rsidRPr="00381652">
        <w:rPr>
          <w:rFonts w:cstheme="minorHAnsi"/>
          <w:sz w:val="24"/>
          <w:szCs w:val="24"/>
        </w:rPr>
        <w:t xml:space="preserve"> (Ecole de formation d'ingénieurs, établissement de formation, système national ou régional de formation à distance…), tout à l’encontre de l</w:t>
      </w:r>
      <w:r w:rsidRPr="00381652">
        <w:rPr>
          <w:rFonts w:cstheme="minorHAnsi"/>
          <w:i/>
          <w:iCs/>
          <w:sz w:val="24"/>
          <w:szCs w:val="24"/>
        </w:rPr>
        <w:t>'ingénierie des "micro-dispositifs"</w:t>
      </w:r>
      <w:r w:rsidRPr="00381652">
        <w:rPr>
          <w:rFonts w:cstheme="minorHAnsi"/>
          <w:sz w:val="24"/>
          <w:szCs w:val="24"/>
        </w:rPr>
        <w:t xml:space="preserve"> (un cycle de formation, une action locale de formation…).</w:t>
      </w:r>
    </w:p>
    <w:p w:rsidR="00381652" w:rsidRPr="00381652" w:rsidRDefault="0079728F" w:rsidP="00381652">
      <w:pPr>
        <w:pStyle w:val="a6"/>
        <w:ind w:left="-454" w:right="-454"/>
        <w:jc w:val="both"/>
        <w:rPr>
          <w:rFonts w:cstheme="minorHAnsi"/>
          <w:color w:val="000000"/>
          <w:sz w:val="24"/>
          <w:szCs w:val="24"/>
          <w:shd w:val="clear" w:color="auto" w:fill="FFFFFF"/>
        </w:rPr>
      </w:pPr>
      <w:r w:rsidRPr="00381652">
        <w:rPr>
          <w:rFonts w:cstheme="minorHAnsi"/>
          <w:b/>
          <w:bCs/>
          <w:sz w:val="24"/>
          <w:szCs w:val="24"/>
        </w:rPr>
        <w:t>Vrai</w:t>
      </w:r>
      <w:r w:rsidR="00381652" w:rsidRPr="00381652">
        <w:rPr>
          <w:rFonts w:cstheme="minorHAnsi"/>
          <w:b/>
          <w:bCs/>
          <w:sz w:val="24"/>
          <w:szCs w:val="24"/>
        </w:rPr>
        <w:t xml:space="preserve"> : </w:t>
      </w:r>
      <w:r w:rsidR="001538B1" w:rsidRPr="00381652">
        <w:rPr>
          <w:rFonts w:cstheme="minorHAnsi"/>
          <w:b/>
          <w:bCs/>
          <w:i/>
          <w:iCs/>
          <w:sz w:val="24"/>
          <w:szCs w:val="24"/>
        </w:rPr>
        <w:t>L</w:t>
      </w:r>
      <w:r w:rsidR="001538B1" w:rsidRPr="00381652">
        <w:rPr>
          <w:rFonts w:cstheme="minorHAnsi"/>
          <w:i/>
          <w:iCs/>
          <w:sz w:val="24"/>
          <w:szCs w:val="24"/>
        </w:rPr>
        <w:t>es différentes opérations à mettre en œuvre dans un processus d'ingénierie s'inscrivent dans une démarche itérative.</w:t>
      </w:r>
      <w:r w:rsidR="006D0D57" w:rsidRPr="00381652">
        <w:rPr>
          <w:rFonts w:cstheme="minorHAnsi"/>
          <w:i/>
          <w:iCs/>
          <w:sz w:val="24"/>
          <w:szCs w:val="24"/>
        </w:rPr>
        <w:t xml:space="preserve"> </w:t>
      </w:r>
      <w:r w:rsidR="001538B1" w:rsidRPr="00381652">
        <w:rPr>
          <w:rFonts w:cstheme="minorHAnsi"/>
          <w:i/>
          <w:iCs/>
          <w:sz w:val="24"/>
          <w:szCs w:val="24"/>
        </w:rPr>
        <w:t>Il existe des alle</w:t>
      </w:r>
      <w:r w:rsidR="006D0D57" w:rsidRPr="00381652">
        <w:rPr>
          <w:rFonts w:cstheme="minorHAnsi"/>
          <w:i/>
          <w:iCs/>
          <w:sz w:val="24"/>
          <w:szCs w:val="24"/>
        </w:rPr>
        <w:t xml:space="preserve">r et retour permanents </w:t>
      </w:r>
      <w:r w:rsidR="001538B1" w:rsidRPr="00381652">
        <w:rPr>
          <w:rFonts w:cstheme="minorHAnsi"/>
          <w:i/>
          <w:iCs/>
          <w:sz w:val="24"/>
          <w:szCs w:val="24"/>
        </w:rPr>
        <w:t>(formulation d'hypothèses, définition d'objectifs opératoires, choix des variables d'action, étude de f</w:t>
      </w:r>
      <w:r w:rsidR="006D0D57" w:rsidRPr="00381652">
        <w:rPr>
          <w:rFonts w:cstheme="minorHAnsi"/>
          <w:i/>
          <w:iCs/>
          <w:sz w:val="24"/>
          <w:szCs w:val="24"/>
        </w:rPr>
        <w:t xml:space="preserve">aisabilité, etc.). </w:t>
      </w:r>
      <w:r w:rsidR="00CC06FD" w:rsidRPr="00381652">
        <w:rPr>
          <w:rFonts w:cstheme="minorHAnsi"/>
          <w:i/>
          <w:iCs/>
          <w:sz w:val="24"/>
          <w:szCs w:val="24"/>
        </w:rPr>
        <w:t>C’est à partir de c</w:t>
      </w:r>
      <w:r w:rsidR="006D0D57" w:rsidRPr="00381652">
        <w:rPr>
          <w:rFonts w:cstheme="minorHAnsi"/>
          <w:i/>
          <w:iCs/>
          <w:sz w:val="24"/>
          <w:szCs w:val="24"/>
        </w:rPr>
        <w:t>ette sorte de</w:t>
      </w:r>
      <w:r w:rsidR="00CC06FD" w:rsidRPr="00381652">
        <w:rPr>
          <w:rFonts w:cstheme="minorHAnsi"/>
          <w:i/>
          <w:iCs/>
          <w:sz w:val="24"/>
          <w:szCs w:val="24"/>
        </w:rPr>
        <w:t xml:space="preserve"> réitération permanente</w:t>
      </w:r>
      <w:r w:rsidR="00CC06FD" w:rsidRPr="00381652">
        <w:rPr>
          <w:rFonts w:cstheme="minorHAnsi"/>
          <w:sz w:val="24"/>
          <w:szCs w:val="24"/>
        </w:rPr>
        <w:t xml:space="preserve"> </w:t>
      </w:r>
      <w:r w:rsidR="00CC06FD" w:rsidRPr="00381652">
        <w:rPr>
          <w:rFonts w:cstheme="minorHAnsi"/>
          <w:i/>
          <w:iCs/>
          <w:sz w:val="24"/>
          <w:szCs w:val="24"/>
        </w:rPr>
        <w:t xml:space="preserve">que </w:t>
      </w:r>
      <w:r w:rsidR="001538B1" w:rsidRPr="00381652">
        <w:rPr>
          <w:rFonts w:cstheme="minorHAnsi"/>
          <w:i/>
          <w:iCs/>
          <w:sz w:val="24"/>
          <w:szCs w:val="24"/>
        </w:rPr>
        <w:t>sera précisée, amendée ou transformée une première "maquette" du résultat à produire.</w:t>
      </w:r>
      <w:r w:rsidR="00CE52A1" w:rsidRPr="00381652">
        <w:rPr>
          <w:rFonts w:cstheme="minorHAnsi"/>
          <w:i/>
          <w:iCs/>
          <w:sz w:val="24"/>
          <w:szCs w:val="24"/>
        </w:rPr>
        <w:t xml:space="preserve"> Pragmatiquement parlant, cela revient au modèle </w:t>
      </w:r>
      <w:r w:rsidR="00CE52A1" w:rsidRPr="00381652">
        <w:rPr>
          <w:rFonts w:cstheme="minorHAnsi"/>
          <w:color w:val="000000"/>
          <w:sz w:val="24"/>
          <w:szCs w:val="24"/>
          <w:shd w:val="clear" w:color="auto" w:fill="FFFFFF"/>
        </w:rPr>
        <w:t xml:space="preserve">ADDIE ; celui-ci est un processus de mise en place d'un design pédagogique ou conception pédagogique (Basque, 2004) et comprend classiquement cinq phases, soit l’analyse, le design, le développement, l’implantation et l’évaluation, désignées par l’acronyme ADDIE (en anglais : Analysis-Design-Development-Implementation-Evaluation). </w:t>
      </w:r>
    </w:p>
    <w:p w:rsidR="000E670E" w:rsidRPr="00381652" w:rsidRDefault="00CE52A1" w:rsidP="00381652">
      <w:pPr>
        <w:pStyle w:val="a6"/>
        <w:ind w:left="-454" w:right="-454"/>
        <w:jc w:val="both"/>
        <w:rPr>
          <w:rFonts w:cstheme="minorHAnsi"/>
          <w:b/>
          <w:bCs/>
          <w:sz w:val="24"/>
          <w:szCs w:val="24"/>
        </w:rPr>
      </w:pPr>
      <w:r w:rsidRPr="00381652">
        <w:rPr>
          <w:rFonts w:cstheme="minorHAnsi"/>
          <w:b/>
          <w:bCs/>
          <w:i/>
          <w:iCs/>
          <w:sz w:val="24"/>
          <w:szCs w:val="24"/>
        </w:rPr>
        <w:t>Vrai</w:t>
      </w:r>
      <w:r w:rsidR="00381652" w:rsidRPr="00381652">
        <w:rPr>
          <w:rFonts w:cstheme="minorHAnsi"/>
          <w:b/>
          <w:bCs/>
          <w:i/>
          <w:iCs/>
          <w:sz w:val="24"/>
          <w:szCs w:val="24"/>
        </w:rPr>
        <w:t xml:space="preserve"> : </w:t>
      </w:r>
      <w:r w:rsidR="00BB15FF" w:rsidRPr="00381652">
        <w:rPr>
          <w:rFonts w:eastAsia="Times New Roman" w:cstheme="minorHAnsi"/>
          <w:b/>
          <w:bCs/>
          <w:i/>
          <w:iCs/>
          <w:color w:val="000000" w:themeColor="text1"/>
          <w:sz w:val="24"/>
          <w:szCs w:val="24"/>
          <w:lang w:eastAsia="fr-FR"/>
        </w:rPr>
        <w:t>L</w:t>
      </w:r>
      <w:r w:rsidR="003137AC" w:rsidRPr="00381652">
        <w:rPr>
          <w:rFonts w:eastAsia="Times New Roman" w:cstheme="minorHAnsi"/>
          <w:i/>
          <w:iCs/>
          <w:color w:val="000000" w:themeColor="text1"/>
          <w:sz w:val="24"/>
          <w:szCs w:val="24"/>
          <w:lang w:eastAsia="fr-FR"/>
        </w:rPr>
        <w:t xml:space="preserve">a scénarisation </w:t>
      </w:r>
      <w:r w:rsidR="006D0D57" w:rsidRPr="00381652">
        <w:rPr>
          <w:rFonts w:eastAsia="Times New Roman" w:cstheme="minorHAnsi"/>
          <w:i/>
          <w:iCs/>
          <w:color w:val="000000" w:themeColor="text1"/>
          <w:sz w:val="24"/>
          <w:szCs w:val="24"/>
          <w:lang w:eastAsia="fr-FR"/>
        </w:rPr>
        <w:t>pédagogique met en lumière les aspects saillants du processus pédagogique</w:t>
      </w:r>
      <w:r w:rsidR="003137AC" w:rsidRPr="00381652">
        <w:rPr>
          <w:rFonts w:eastAsia="Times New Roman" w:cstheme="minorHAnsi"/>
          <w:i/>
          <w:iCs/>
          <w:color w:val="000000" w:themeColor="text1"/>
          <w:sz w:val="24"/>
          <w:szCs w:val="24"/>
          <w:lang w:eastAsia="fr-FR"/>
        </w:rPr>
        <w:t> .</w:t>
      </w:r>
      <w:r w:rsidR="000E670E" w:rsidRPr="00381652">
        <w:rPr>
          <w:rFonts w:eastAsia="Times New Roman" w:cstheme="minorHAnsi"/>
          <w:color w:val="000000" w:themeColor="text1"/>
          <w:sz w:val="28"/>
          <w:szCs w:val="28"/>
          <w:lang w:eastAsia="fr-FR"/>
        </w:rPr>
        <w:t xml:space="preserve"> </w:t>
      </w:r>
      <w:r w:rsidR="000E670E" w:rsidRPr="00381652">
        <w:rPr>
          <w:rFonts w:eastAsia="Times New Roman" w:cstheme="minorHAnsi"/>
          <w:color w:val="000000" w:themeColor="text1"/>
          <w:sz w:val="24"/>
          <w:szCs w:val="24"/>
          <w:lang w:eastAsia="fr-FR"/>
        </w:rPr>
        <w:t xml:space="preserve">Séquence orchestré de différentes phases, le scénario pédagogique est considéré comme un ensemble structuré et cohérent constitué de deux parties : </w:t>
      </w:r>
    </w:p>
    <w:p w:rsidR="000E670E" w:rsidRPr="00381652" w:rsidRDefault="000E670E" w:rsidP="00381652">
      <w:pPr>
        <w:pStyle w:val="a6"/>
        <w:numPr>
          <w:ilvl w:val="0"/>
          <w:numId w:val="2"/>
        </w:numPr>
        <w:spacing w:after="0"/>
        <w:ind w:left="-426" w:right="-142" w:firstLine="0"/>
        <w:jc w:val="both"/>
        <w:rPr>
          <w:rFonts w:eastAsia="Times New Roman" w:cstheme="minorHAnsi"/>
          <w:color w:val="000000" w:themeColor="text1"/>
          <w:sz w:val="24"/>
          <w:szCs w:val="24"/>
          <w:lang w:eastAsia="fr-FR"/>
        </w:rPr>
      </w:pPr>
      <w:r w:rsidRPr="00381652">
        <w:rPr>
          <w:rFonts w:eastAsia="Times New Roman" w:cstheme="minorHAnsi"/>
          <w:color w:val="000000" w:themeColor="text1"/>
          <w:sz w:val="24"/>
          <w:szCs w:val="24"/>
          <w:lang w:eastAsia="fr-FR"/>
        </w:rPr>
        <w:t>Le scénario d’apprentissage dont le rôle revient à décrire les activités d’apprentissage qui seront proposées et de définir leur articulation dans le dispositif pédagogique, ainsi que les productions qui sont attendues de la part des apprenants</w:t>
      </w:r>
    </w:p>
    <w:p w:rsidR="00C36CC8" w:rsidRPr="00381652" w:rsidRDefault="000E670E" w:rsidP="00381652">
      <w:pPr>
        <w:pStyle w:val="a6"/>
        <w:numPr>
          <w:ilvl w:val="0"/>
          <w:numId w:val="2"/>
        </w:numPr>
        <w:spacing w:after="0"/>
        <w:ind w:left="-426" w:right="-142" w:firstLine="0"/>
        <w:jc w:val="both"/>
        <w:rPr>
          <w:rFonts w:cstheme="minorHAnsi"/>
          <w:sz w:val="24"/>
          <w:szCs w:val="24"/>
        </w:rPr>
      </w:pPr>
      <w:r w:rsidRPr="00381652">
        <w:rPr>
          <w:rFonts w:eastAsia="Times New Roman" w:cstheme="minorHAnsi"/>
          <w:color w:val="000000" w:themeColor="text1"/>
          <w:sz w:val="24"/>
          <w:szCs w:val="24"/>
          <w:lang w:eastAsia="fr-FR"/>
        </w:rPr>
        <w:t>Le scénario d’encadrement qui précise le rôle des enseignants (notamment en matière de tutorat) et les modalités des interventions destinées à soutenir le scénario d’apprentissage. </w:t>
      </w:r>
      <w:r w:rsidRPr="00381652">
        <w:rPr>
          <w:rFonts w:cstheme="minorHAnsi"/>
          <w:sz w:val="24"/>
          <w:szCs w:val="24"/>
        </w:rPr>
        <w:t xml:space="preserve">Qu’il </w:t>
      </w:r>
      <w:r w:rsidRPr="00381652">
        <w:rPr>
          <w:rFonts w:cstheme="minorHAnsi"/>
          <w:sz w:val="24"/>
          <w:szCs w:val="24"/>
        </w:rPr>
        <w:lastRenderedPageBreak/>
        <w:t>s’agisse d’un scénario d’apprentissage ou d’encadrement, d’animation ou de suivi, le concepteur de formation tout autant que l’ingénieur pédagogique doivent rendre compte d’un certain nombre de paramètres situationnels qu’engendrent la salle de classe pour pouvoir décider de l’architecture des scénarios pédagogiques, de leurs fonctionnalités, et de la pertinence des modes de leurs orchestration</w:t>
      </w:r>
    </w:p>
    <w:p w:rsidR="003137AC" w:rsidRPr="00381652" w:rsidRDefault="003137AC" w:rsidP="00FF6F41">
      <w:pPr>
        <w:pStyle w:val="a6"/>
        <w:ind w:left="-454" w:right="-454"/>
        <w:jc w:val="both"/>
        <w:rPr>
          <w:rFonts w:cstheme="minorHAnsi"/>
          <w:b/>
          <w:bCs/>
          <w:i/>
          <w:iCs/>
        </w:rPr>
      </w:pPr>
    </w:p>
    <w:p w:rsidR="00A8489C" w:rsidRPr="00381652" w:rsidRDefault="00C36CC8" w:rsidP="00FF6F41">
      <w:pPr>
        <w:pStyle w:val="a6"/>
        <w:ind w:left="-454" w:right="-454"/>
        <w:jc w:val="both"/>
        <w:rPr>
          <w:rFonts w:cstheme="minorHAnsi"/>
          <w:b/>
          <w:bCs/>
          <w:i/>
          <w:iCs/>
        </w:rPr>
      </w:pPr>
      <w:r w:rsidRPr="00381652">
        <w:rPr>
          <w:rFonts w:cstheme="minorHAnsi"/>
          <w:b/>
          <w:bCs/>
          <w:color w:val="000000"/>
        </w:rPr>
        <w:t>2-</w:t>
      </w:r>
      <w:r w:rsidRPr="00381652">
        <w:rPr>
          <w:rFonts w:cstheme="minorHAnsi"/>
          <w:color w:val="000000"/>
        </w:rPr>
        <w:t xml:space="preserve"> </w:t>
      </w:r>
      <w:r w:rsidR="00FF6F41" w:rsidRPr="00381652">
        <w:rPr>
          <w:rFonts w:cstheme="minorHAnsi"/>
          <w:i/>
          <w:iCs/>
          <w:color w:val="000000"/>
          <w:sz w:val="24"/>
          <w:szCs w:val="24"/>
        </w:rPr>
        <w:t xml:space="preserve">«Sur le plan strictement médiatique, les TIC sont l’un des moyens particulièrement efficaces pour vaincre la distance géographique ou temporelle et permettre des interactions autrefois impossibles à mettre en œuvre entre l’apprenant et l’objet de connaissance. Ainsi, </w:t>
      </w:r>
      <w:r w:rsidRPr="00381652">
        <w:rPr>
          <w:rFonts w:cstheme="minorHAnsi"/>
          <w:i/>
          <w:iCs/>
          <w:color w:val="000000"/>
          <w:sz w:val="24"/>
          <w:szCs w:val="24"/>
        </w:rPr>
        <w:t>les TICE proposent un ensemble de techniques et d’outils pour instrumenter (Rabardel, 1995) les activités d’apprentissage à la base des scénarios pédagogiques au moment de leur implémentation sur le web, constituant ainsi un contexte d’apprentissage qui peut être le plus isomorphe possible avec le contexte réel d’usage.</w:t>
      </w:r>
      <w:r w:rsidR="00FF6F41" w:rsidRPr="00381652">
        <w:rPr>
          <w:rFonts w:cstheme="minorHAnsi"/>
          <w:i/>
          <w:iCs/>
          <w:color w:val="000000"/>
          <w:sz w:val="24"/>
          <w:szCs w:val="24"/>
        </w:rPr>
        <w:t xml:space="preserve"> </w:t>
      </w:r>
      <w:r w:rsidRPr="00381652">
        <w:rPr>
          <w:rStyle w:val="Char"/>
          <w:rFonts w:cstheme="minorHAnsi"/>
          <w:i/>
          <w:iCs/>
          <w:sz w:val="24"/>
          <w:szCs w:val="24"/>
          <w:shd w:val="clear" w:color="auto" w:fill="FFFFFF" w:themeFill="background1"/>
        </w:rPr>
        <w:t>Analogiques ou numériques, ces technologies ont chacune une certaine façon "d'écrire la réalité" ou de se substituer à une certaine forme de "présence" rendue momentanément "absente" de la perception directe et immédiate.</w:t>
      </w:r>
      <w:r w:rsidR="00FF6F41" w:rsidRPr="00381652">
        <w:rPr>
          <w:rStyle w:val="Char"/>
          <w:rFonts w:cstheme="minorHAnsi"/>
          <w:i/>
          <w:iCs/>
          <w:sz w:val="24"/>
          <w:szCs w:val="24"/>
          <w:shd w:val="clear" w:color="auto" w:fill="FFFFFF" w:themeFill="background1"/>
        </w:rPr>
        <w:t>»</w:t>
      </w:r>
      <w:r w:rsidR="004B173B" w:rsidRPr="00381652">
        <w:rPr>
          <w:rFonts w:cstheme="minorHAnsi"/>
          <w:b/>
          <w:bCs/>
          <w:i/>
          <w:iCs/>
        </w:rPr>
        <w:t xml:space="preserve"> </w:t>
      </w:r>
      <w:r w:rsidR="00FF6F41" w:rsidRPr="00381652">
        <w:rPr>
          <w:rFonts w:cstheme="minorHAnsi"/>
          <w:b/>
          <w:bCs/>
          <w:i/>
          <w:iCs/>
        </w:rPr>
        <w:t>A la lumière de ce passage expliquez l’importance des classes techno-pédagogiques</w:t>
      </w:r>
      <w:r w:rsidR="00BB15FF" w:rsidRPr="00381652">
        <w:rPr>
          <w:rFonts w:cstheme="minorHAnsi"/>
          <w:b/>
          <w:bCs/>
          <w:i/>
          <w:iCs/>
        </w:rPr>
        <w:t xml:space="preserve"> et du FOAD</w:t>
      </w:r>
      <w:r w:rsidR="00FF6F41" w:rsidRPr="00381652">
        <w:rPr>
          <w:rFonts w:cstheme="minorHAnsi"/>
          <w:b/>
          <w:bCs/>
          <w:i/>
          <w:iCs/>
        </w:rPr>
        <w:t xml:space="preserve"> </w:t>
      </w:r>
      <w:r w:rsidR="004B173B" w:rsidRPr="00381652">
        <w:rPr>
          <w:rFonts w:cstheme="minorHAnsi"/>
          <w:b/>
          <w:bCs/>
          <w:i/>
          <w:iCs/>
        </w:rPr>
        <w:t>(08 pts) </w:t>
      </w:r>
      <w:r w:rsidR="00110389" w:rsidRPr="00381652">
        <w:rPr>
          <w:rFonts w:cstheme="minorHAnsi"/>
          <w:b/>
          <w:bCs/>
          <w:i/>
          <w:iCs/>
        </w:rPr>
        <w:t> :</w:t>
      </w:r>
    </w:p>
    <w:p w:rsidR="00304F41" w:rsidRPr="00381652" w:rsidRDefault="00CE52A1" w:rsidP="00381652">
      <w:pPr>
        <w:tabs>
          <w:tab w:val="left" w:pos="-426"/>
        </w:tabs>
        <w:autoSpaceDE w:val="0"/>
        <w:autoSpaceDN w:val="0"/>
        <w:adjustRightInd w:val="0"/>
        <w:spacing w:after="0"/>
        <w:ind w:left="-426" w:right="-426"/>
        <w:jc w:val="both"/>
        <w:rPr>
          <w:rFonts w:cstheme="minorHAnsi"/>
          <w:b/>
          <w:bCs/>
          <w:i/>
          <w:iCs/>
        </w:rPr>
      </w:pPr>
      <w:r w:rsidRPr="00381652">
        <w:rPr>
          <w:rFonts w:cstheme="minorHAnsi"/>
          <w:sz w:val="24"/>
          <w:szCs w:val="24"/>
        </w:rPr>
        <w:t>Avec le développement des nouvelles technologies de l'information et de la communication, avec l'émergence du virtuel, avec enfin l'application de l'ingénierie aux domaines des services (éducation, formation, réseaux…), le résultat attendu correspond davantage à un "</w:t>
      </w:r>
      <w:r w:rsidRPr="00381652">
        <w:rPr>
          <w:rFonts w:cstheme="minorHAnsi"/>
          <w:i/>
          <w:iCs/>
          <w:sz w:val="24"/>
          <w:szCs w:val="24"/>
        </w:rPr>
        <w:t>dispositif</w:t>
      </w:r>
      <w:r w:rsidRPr="00381652">
        <w:rPr>
          <w:rFonts w:cstheme="minorHAnsi"/>
          <w:sz w:val="24"/>
          <w:szCs w:val="24"/>
        </w:rPr>
        <w:t>" dont le bâti n'est qu'une composante parmi d'autres, et dont les limites ne correspondent plus nécessairement à celles d'un territoire physique ou géographique. C'est le cas de l'ingénierie d'un réseau, d'un système d'information, d'une université sans murs…Avec la même démarche d'ingénierie, il devenait possible de concevoir des dispositifs distincts (Instituts, Écoles, Centres de formation, …), adaptés à des contextes variés.</w:t>
      </w:r>
    </w:p>
    <w:p w:rsidR="00304F41" w:rsidRPr="00381652" w:rsidRDefault="00304F41" w:rsidP="00381652">
      <w:pPr>
        <w:tabs>
          <w:tab w:val="left" w:pos="-426"/>
        </w:tabs>
        <w:autoSpaceDE w:val="0"/>
        <w:autoSpaceDN w:val="0"/>
        <w:adjustRightInd w:val="0"/>
        <w:spacing w:after="0"/>
        <w:ind w:left="-426" w:right="-426"/>
        <w:jc w:val="both"/>
        <w:rPr>
          <w:rFonts w:cstheme="minorHAnsi"/>
          <w:color w:val="000000"/>
          <w:sz w:val="24"/>
          <w:szCs w:val="24"/>
        </w:rPr>
      </w:pPr>
      <w:r w:rsidRPr="00381652">
        <w:rPr>
          <w:rFonts w:cstheme="minorHAnsi"/>
          <w:i/>
          <w:iCs/>
          <w:sz w:val="24"/>
          <w:szCs w:val="24"/>
        </w:rPr>
        <w:t>La formation</w:t>
      </w:r>
      <w:r w:rsidR="00381652">
        <w:rPr>
          <w:rFonts w:cstheme="minorHAnsi"/>
          <w:i/>
          <w:iCs/>
          <w:sz w:val="24"/>
          <w:szCs w:val="24"/>
        </w:rPr>
        <w:t xml:space="preserve"> ouverte et</w:t>
      </w:r>
      <w:r w:rsidRPr="00381652">
        <w:rPr>
          <w:rFonts w:cstheme="minorHAnsi"/>
          <w:i/>
          <w:iCs/>
          <w:sz w:val="24"/>
          <w:szCs w:val="24"/>
        </w:rPr>
        <w:t xml:space="preserve"> à distance</w:t>
      </w:r>
      <w:r w:rsidR="00381652">
        <w:rPr>
          <w:rFonts w:cstheme="minorHAnsi"/>
          <w:i/>
          <w:iCs/>
          <w:sz w:val="24"/>
          <w:szCs w:val="24"/>
        </w:rPr>
        <w:t xml:space="preserve"> FOAD</w:t>
      </w:r>
      <w:r w:rsidRPr="00381652">
        <w:rPr>
          <w:rFonts w:cstheme="minorHAnsi"/>
          <w:i/>
          <w:iCs/>
          <w:sz w:val="24"/>
          <w:szCs w:val="24"/>
        </w:rPr>
        <w:t xml:space="preserve"> parce qu’elle dissocie dans le temps et dans l’espace le processus d’enseignement/apprentissage apparaît d’emblée comme une formation en différé et, en conséquence, elle doit nécessairement se concevoir et être mise en œuvre comme une formation médiatisée. Autrement dit, toute formation à distance recourt nécessairement à des artefacts techniques, à des dispositifs médiatiques anciens ou nouveaux, analogiques ou numériques : livres ou manuels imprimés et illustrés, radiodiffusion, enregistrements sonores sur cassettes, émissions de télévision en direct ou magnétoscopées, technologies de l’information et de la communication. C’est ainsi que seront mis à disposition des apprenants les ressources pédagogiques, les différents outils de communication et de collaboration, les activités d’apprentissage et les moyens de les réaliser. C’est à travers de tels dispositifs que les apprenants communiqueront et collaboreront, qu’ils se verront aider dans leurs travaux ».</w:t>
      </w:r>
      <w:r w:rsidRPr="00381652">
        <w:rPr>
          <w:rStyle w:val="ab"/>
          <w:rFonts w:cstheme="minorHAnsi"/>
          <w:i/>
          <w:iCs/>
          <w:sz w:val="24"/>
          <w:szCs w:val="24"/>
        </w:rPr>
        <w:footnoteReference w:id="2"/>
      </w:r>
      <w:r w:rsidRPr="00381652">
        <w:rPr>
          <w:rFonts w:cstheme="minorHAnsi"/>
          <w:sz w:val="24"/>
          <w:szCs w:val="24"/>
        </w:rPr>
        <w:t xml:space="preserve"> Ce mode d'enseignement requiert donc des techniques spéciales de formation, de conception de cours et des moyens de communication : La Téléformation, ou</w:t>
      </w:r>
      <w:r w:rsidR="00381652">
        <w:rPr>
          <w:rFonts w:cstheme="minorHAnsi"/>
          <w:sz w:val="24"/>
          <w:szCs w:val="24"/>
        </w:rPr>
        <w:t>b</w:t>
      </w:r>
      <w:r w:rsidRPr="00381652">
        <w:rPr>
          <w:rFonts w:cstheme="minorHAnsi"/>
          <w:sz w:val="24"/>
          <w:szCs w:val="24"/>
        </w:rPr>
        <w:t xml:space="preserve">la formation à distance recouvrent plusieurs réalités techno-pédagogiques, depuis la simple intégration des télécommunications multimédias dans une classe traditionnelle, jusqu’aux modèles interactifs multimédias asynchrones et à distanciel. Le véritable défi est : comment organiser les ressources </w:t>
      </w:r>
      <w:r w:rsidRPr="00381652">
        <w:rPr>
          <w:rFonts w:cstheme="minorHAnsi"/>
          <w:sz w:val="24"/>
          <w:szCs w:val="24"/>
        </w:rPr>
        <w:lastRenderedPageBreak/>
        <w:t xml:space="preserve">humaines et technologiques en un modèle qui soutient efficacement l’apprentissage de compétences nouvelles dans cette société du savoir ? De façon schématique, ces modèles peuvent engendrer différentes architectures et paradigmes synthétisés par G. Paquette comme suit : </w:t>
      </w:r>
      <w:r w:rsidR="00381652">
        <w:rPr>
          <w:rFonts w:cstheme="minorHAnsi"/>
          <w:sz w:val="24"/>
          <w:szCs w:val="24"/>
        </w:rPr>
        <w:t>La classe technologique ouverte ;</w:t>
      </w:r>
      <w:r w:rsidRPr="00381652">
        <w:rPr>
          <w:rFonts w:cstheme="minorHAnsi"/>
          <w:sz w:val="24"/>
          <w:szCs w:val="24"/>
        </w:rPr>
        <w:t>La classe technologique répartie</w:t>
      </w:r>
      <w:r w:rsidR="00381652">
        <w:rPr>
          <w:rFonts w:cstheme="minorHAnsi"/>
          <w:sz w:val="24"/>
          <w:szCs w:val="24"/>
        </w:rPr>
        <w:t> ;</w:t>
      </w:r>
      <w:r w:rsidRPr="00381652">
        <w:rPr>
          <w:rFonts w:cstheme="minorHAnsi"/>
          <w:color w:val="000000"/>
          <w:sz w:val="24"/>
          <w:szCs w:val="24"/>
        </w:rPr>
        <w:t xml:space="preserve"> Formation en ligne</w:t>
      </w:r>
      <w:r w:rsidR="00381652">
        <w:rPr>
          <w:rFonts w:cstheme="minorHAnsi"/>
          <w:color w:val="000000"/>
          <w:sz w:val="24"/>
          <w:szCs w:val="24"/>
        </w:rPr>
        <w:t> ;</w:t>
      </w:r>
      <w:r w:rsidRPr="00381652">
        <w:rPr>
          <w:rFonts w:cstheme="minorHAnsi"/>
          <w:color w:val="000000"/>
          <w:sz w:val="24"/>
          <w:szCs w:val="24"/>
        </w:rPr>
        <w:t xml:space="preserve"> Communauté de pratique</w:t>
      </w:r>
      <w:r w:rsidR="00381652">
        <w:rPr>
          <w:rFonts w:cstheme="minorHAnsi"/>
          <w:color w:val="000000"/>
          <w:sz w:val="24"/>
          <w:szCs w:val="24"/>
        </w:rPr>
        <w:t xml:space="preserve"> ; </w:t>
      </w:r>
      <w:r w:rsidRPr="00381652">
        <w:rPr>
          <w:rFonts w:cstheme="minorHAnsi"/>
          <w:color w:val="000000"/>
          <w:sz w:val="24"/>
          <w:szCs w:val="24"/>
        </w:rPr>
        <w:t>Classe de soutien à la performance</w:t>
      </w:r>
      <w:r w:rsidR="00381652">
        <w:rPr>
          <w:rFonts w:cstheme="minorHAnsi"/>
          <w:color w:val="000000"/>
          <w:sz w:val="24"/>
          <w:szCs w:val="24"/>
        </w:rPr>
        <w:t>.</w:t>
      </w:r>
    </w:p>
    <w:p w:rsidR="00304F41" w:rsidRPr="00381652" w:rsidRDefault="00304F41" w:rsidP="00304F41">
      <w:pPr>
        <w:ind w:firstLine="426"/>
        <w:jc w:val="both"/>
        <w:rPr>
          <w:rFonts w:cstheme="minorHAnsi"/>
          <w:b/>
          <w:bCs/>
          <w:sz w:val="24"/>
          <w:szCs w:val="24"/>
        </w:rPr>
      </w:pPr>
    </w:p>
    <w:p w:rsidR="00A8489C" w:rsidRDefault="00381652" w:rsidP="00381652">
      <w:pPr>
        <w:pStyle w:val="a6"/>
        <w:autoSpaceDE w:val="0"/>
        <w:autoSpaceDN w:val="0"/>
        <w:adjustRightInd w:val="0"/>
        <w:spacing w:after="0"/>
        <w:ind w:left="0"/>
        <w:jc w:val="both"/>
        <w:rPr>
          <w:rFonts w:cstheme="minorHAnsi"/>
          <w:sz w:val="24"/>
          <w:szCs w:val="24"/>
        </w:rPr>
      </w:pPr>
      <w:r>
        <w:rPr>
          <w:rFonts w:cstheme="minorHAnsi"/>
          <w:sz w:val="24"/>
          <w:szCs w:val="24"/>
        </w:rPr>
        <w:t>N.B : ce n’est qu’un synopsis, chacun des apprenants a sa propre manière à concevoir la réponse adéquate à ce sujet.</w:t>
      </w:r>
    </w:p>
    <w:p w:rsidR="00AC59BC" w:rsidRPr="00B40157" w:rsidRDefault="00AC59BC" w:rsidP="00AC59BC">
      <w:pPr>
        <w:pStyle w:val="a6"/>
        <w:jc w:val="center"/>
        <w:rPr>
          <w:rFonts w:ascii="Algerian" w:hAnsi="Algerian"/>
          <w:b/>
          <w:bCs/>
          <w:i/>
          <w:iCs/>
        </w:rPr>
      </w:pPr>
      <w:r w:rsidRPr="00B40157">
        <w:rPr>
          <w:rFonts w:ascii="Algerian" w:hAnsi="Algerian"/>
          <w:b/>
          <w:bCs/>
          <w:i/>
          <w:iCs/>
        </w:rPr>
        <w:t>Fin du texte</w:t>
      </w:r>
    </w:p>
    <w:p w:rsidR="00AC59BC" w:rsidRPr="00381652" w:rsidRDefault="00AC59BC" w:rsidP="00381652">
      <w:pPr>
        <w:pStyle w:val="a6"/>
        <w:autoSpaceDE w:val="0"/>
        <w:autoSpaceDN w:val="0"/>
        <w:adjustRightInd w:val="0"/>
        <w:spacing w:after="0"/>
        <w:ind w:left="0"/>
        <w:jc w:val="both"/>
        <w:rPr>
          <w:rFonts w:cstheme="minorHAnsi"/>
          <w:sz w:val="24"/>
          <w:szCs w:val="24"/>
        </w:rPr>
      </w:pPr>
    </w:p>
    <w:sectPr w:rsidR="00AC59BC" w:rsidRPr="00381652" w:rsidSect="00F75E51">
      <w:headerReference w:type="default" r:id="rId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122" w:rsidRDefault="00B32122" w:rsidP="00F75E51">
      <w:pPr>
        <w:spacing w:after="0" w:line="240" w:lineRule="auto"/>
      </w:pPr>
      <w:r>
        <w:separator/>
      </w:r>
    </w:p>
  </w:endnote>
  <w:endnote w:type="continuationSeparator" w:id="1">
    <w:p w:rsidR="00B32122" w:rsidRDefault="00B32122" w:rsidP="00F75E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Algerian">
    <w:panose1 w:val="04020705040A02060702"/>
    <w:charset w:val="00"/>
    <w:family w:val="decorative"/>
    <w:pitch w:val="variable"/>
    <w:sig w:usb0="00000003" w:usb1="00000000" w:usb2="00000000" w:usb3="00000000" w:csb0="00000001" w:csb1="00000000"/>
  </w:font>
  <w:font w:name="Bahnschrift Condensed">
    <w:panose1 w:val="020B0502040204020203"/>
    <w:charset w:val="00"/>
    <w:family w:val="swiss"/>
    <w:pitch w:val="variable"/>
    <w:sig w:usb0="A00002C7" w:usb1="00000002" w:usb2="00000000" w:usb3="00000000" w:csb0="0000019F" w:csb1="00000000"/>
  </w:font>
  <w:font w:name="Bodoni MT Condensed">
    <w:altName w:val="Bodoni MT Poster Compressed"/>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122" w:rsidRDefault="00B32122" w:rsidP="00F75E51">
      <w:pPr>
        <w:spacing w:after="0" w:line="240" w:lineRule="auto"/>
      </w:pPr>
      <w:r>
        <w:separator/>
      </w:r>
    </w:p>
  </w:footnote>
  <w:footnote w:type="continuationSeparator" w:id="1">
    <w:p w:rsidR="00B32122" w:rsidRDefault="00B32122" w:rsidP="00F75E51">
      <w:pPr>
        <w:spacing w:after="0" w:line="240" w:lineRule="auto"/>
      </w:pPr>
      <w:r>
        <w:continuationSeparator/>
      </w:r>
    </w:p>
  </w:footnote>
  <w:footnote w:id="2">
    <w:p w:rsidR="00304F41" w:rsidRPr="007E722E" w:rsidRDefault="00304F41" w:rsidP="00304F41">
      <w:pPr>
        <w:autoSpaceDE w:val="0"/>
        <w:autoSpaceDN w:val="0"/>
        <w:adjustRightInd w:val="0"/>
        <w:spacing w:after="0" w:line="240" w:lineRule="auto"/>
        <w:jc w:val="both"/>
        <w:rPr>
          <w:rFonts w:ascii="Bodoni MT Condensed" w:hAnsi="Bodoni MT Condensed" w:cs="Times New Roman"/>
          <w:i/>
          <w:iCs/>
          <w:sz w:val="16"/>
          <w:szCs w:val="16"/>
        </w:rPr>
      </w:pPr>
      <w:r>
        <w:rPr>
          <w:rStyle w:val="ab"/>
        </w:rPr>
        <w:footnoteRef/>
      </w:r>
      <w:r>
        <w:t xml:space="preserve">- </w:t>
      </w:r>
      <w:r w:rsidRPr="007E722E">
        <w:rPr>
          <w:rFonts w:ascii="Bodoni MT Condensed" w:hAnsi="Bodoni MT Condensed" w:cs="Times New Roman"/>
          <w:sz w:val="16"/>
          <w:szCs w:val="16"/>
        </w:rPr>
        <w:t xml:space="preserve">PERAYA. D. (2005). </w:t>
      </w:r>
      <w:r w:rsidRPr="007E722E">
        <w:rPr>
          <w:rFonts w:ascii="Bodoni MT Condensed" w:hAnsi="Bodoni MT Condensed" w:cs="Times New Roman"/>
          <w:i/>
          <w:iCs/>
          <w:sz w:val="16"/>
          <w:szCs w:val="16"/>
        </w:rPr>
        <w:t>La formation à distance : un dispositif de formation et de communications médiatisées. Une approche des processus de médiatisation et de médiation</w:t>
      </w:r>
      <w:r w:rsidRPr="007E722E">
        <w:rPr>
          <w:rFonts w:ascii="Bodoni MT Condensed" w:hAnsi="Bodoni MT Condensed" w:cs="Times New Roman"/>
          <w:sz w:val="16"/>
          <w:szCs w:val="16"/>
        </w:rPr>
        <w:t>, TICE etdéveloppement, N° 1. in http://www.revuetice.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118688"/>
      <w:docPartObj>
        <w:docPartGallery w:val="Page Numbers (Top of Page)"/>
        <w:docPartUnique/>
      </w:docPartObj>
    </w:sdtPr>
    <w:sdtContent>
      <w:p w:rsidR="00F75E51" w:rsidRDefault="0001489F">
        <w:pPr>
          <w:pStyle w:val="a7"/>
        </w:pPr>
        <w:r w:rsidRPr="0001489F">
          <w:rPr>
            <w:noProof/>
            <w:lang w:val="en-US" w:eastAsia="zh-TW"/>
          </w:rPr>
          <w:pict>
            <v:oval id="_x0000_s3073" style="position:absolute;margin-left:0;margin-top:0;width:49.35pt;height:49.35pt;flip:x;z-index:251660288;mso-position-horizontal:center;mso-position-horizontal-relative:margin;mso-position-vertical:center;mso-position-vertical-relative:top-margin-area;v-text-anchor:middle" o:allowincell="f" fillcolor="#365f91 [2404]" stroked="f">
              <v:textbox style="mso-next-textbox:#_x0000_s3073">
                <w:txbxContent>
                  <w:p w:rsidR="00F75E51" w:rsidRDefault="0001489F">
                    <w:pPr>
                      <w:pStyle w:val="a8"/>
                      <w:jc w:val="center"/>
                      <w:rPr>
                        <w:b/>
                        <w:color w:val="FFFFFF" w:themeColor="background1"/>
                        <w:sz w:val="32"/>
                        <w:szCs w:val="32"/>
                      </w:rPr>
                    </w:pPr>
                    <w:fldSimple w:instr=" PAGE    \* MERGEFORMAT ">
                      <w:r w:rsidR="00AC59BC" w:rsidRPr="00AC59BC">
                        <w:rPr>
                          <w:rFonts w:cs="Calibri"/>
                          <w:b/>
                          <w:bCs/>
                          <w:noProof/>
                          <w:color w:val="FFFFFF" w:themeColor="background1"/>
                          <w:sz w:val="32"/>
                          <w:szCs w:val="32"/>
                          <w:lang w:val="ar-SA"/>
                        </w:rPr>
                        <w:t>3</w:t>
                      </w:r>
                    </w:fldSimple>
                  </w:p>
                </w:txbxContent>
              </v:textbox>
              <w10:wrap anchorx="margin" anchory="margin"/>
            </v:oval>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C03F1"/>
    <w:multiLevelType w:val="hybridMultilevel"/>
    <w:tmpl w:val="F3CC87A2"/>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nsid w:val="1B122882"/>
    <w:multiLevelType w:val="multilevel"/>
    <w:tmpl w:val="CAC2F4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69" w:hanging="360"/>
      </w:pPr>
      <w:rPr>
        <w:rFonts w:hint="default"/>
        <w:b/>
        <w:bCs/>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88547DF"/>
    <w:multiLevelType w:val="hybridMultilevel"/>
    <w:tmpl w:val="F74E1F2C"/>
    <w:lvl w:ilvl="0" w:tplc="456494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4435393"/>
    <w:multiLevelType w:val="hybridMultilevel"/>
    <w:tmpl w:val="C13488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hdrShapeDefaults>
    <o:shapedefaults v:ext="edit" spidmax="6146"/>
    <o:shapelayout v:ext="edit">
      <o:idmap v:ext="edit" data="3"/>
    </o:shapelayout>
  </w:hdrShapeDefaults>
  <w:footnotePr>
    <w:footnote w:id="0"/>
    <w:footnote w:id="1"/>
  </w:footnotePr>
  <w:endnotePr>
    <w:endnote w:id="0"/>
    <w:endnote w:id="1"/>
  </w:endnotePr>
  <w:compat/>
  <w:rsids>
    <w:rsidRoot w:val="00364EA0"/>
    <w:rsid w:val="0001489F"/>
    <w:rsid w:val="000177DB"/>
    <w:rsid w:val="000D6003"/>
    <w:rsid w:val="000E670E"/>
    <w:rsid w:val="00110389"/>
    <w:rsid w:val="001538B1"/>
    <w:rsid w:val="00223372"/>
    <w:rsid w:val="00295DDA"/>
    <w:rsid w:val="002B380F"/>
    <w:rsid w:val="00304F41"/>
    <w:rsid w:val="003137AC"/>
    <w:rsid w:val="00343A27"/>
    <w:rsid w:val="00364EA0"/>
    <w:rsid w:val="00381652"/>
    <w:rsid w:val="00406BFC"/>
    <w:rsid w:val="00434B32"/>
    <w:rsid w:val="004B173B"/>
    <w:rsid w:val="005642C8"/>
    <w:rsid w:val="006306C8"/>
    <w:rsid w:val="00681997"/>
    <w:rsid w:val="006D0D57"/>
    <w:rsid w:val="0079728F"/>
    <w:rsid w:val="007B6F14"/>
    <w:rsid w:val="00930A3D"/>
    <w:rsid w:val="009B6CAA"/>
    <w:rsid w:val="00A30DC2"/>
    <w:rsid w:val="00A509AD"/>
    <w:rsid w:val="00A51596"/>
    <w:rsid w:val="00A556C1"/>
    <w:rsid w:val="00A8489C"/>
    <w:rsid w:val="00AC59BC"/>
    <w:rsid w:val="00B32122"/>
    <w:rsid w:val="00BB15FF"/>
    <w:rsid w:val="00BC3982"/>
    <w:rsid w:val="00C36CC8"/>
    <w:rsid w:val="00CC06FD"/>
    <w:rsid w:val="00CE27B6"/>
    <w:rsid w:val="00CE52A1"/>
    <w:rsid w:val="00D147DC"/>
    <w:rsid w:val="00D24A29"/>
    <w:rsid w:val="00E561F8"/>
    <w:rsid w:val="00F75E51"/>
    <w:rsid w:val="00FF6F4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A0"/>
  </w:style>
  <w:style w:type="paragraph" w:styleId="3">
    <w:name w:val="heading 3"/>
    <w:basedOn w:val="a"/>
    <w:link w:val="3Char"/>
    <w:uiPriority w:val="9"/>
    <w:qFormat/>
    <w:rsid w:val="00364EA0"/>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364EA0"/>
    <w:rPr>
      <w:rFonts w:ascii="Times New Roman" w:eastAsia="Times New Roman" w:hAnsi="Times New Roman" w:cs="Times New Roman"/>
      <w:b/>
      <w:bCs/>
      <w:sz w:val="27"/>
      <w:szCs w:val="27"/>
      <w:lang w:eastAsia="fr-FR"/>
    </w:rPr>
  </w:style>
  <w:style w:type="paragraph" w:styleId="a3">
    <w:name w:val="No Spacing"/>
    <w:link w:val="Char"/>
    <w:uiPriority w:val="1"/>
    <w:qFormat/>
    <w:rsid w:val="00364EA0"/>
    <w:pPr>
      <w:spacing w:after="0" w:line="240" w:lineRule="auto"/>
    </w:pPr>
    <w:rPr>
      <w:rFonts w:eastAsiaTheme="minorEastAsia"/>
      <w:lang w:eastAsia="fr-FR"/>
    </w:rPr>
  </w:style>
  <w:style w:type="character" w:customStyle="1" w:styleId="Char">
    <w:name w:val="بلا تباعد Char"/>
    <w:basedOn w:val="a0"/>
    <w:link w:val="a3"/>
    <w:uiPriority w:val="1"/>
    <w:rsid w:val="00364EA0"/>
    <w:rPr>
      <w:rFonts w:eastAsiaTheme="minorEastAsia"/>
      <w:lang w:eastAsia="fr-FR"/>
    </w:rPr>
  </w:style>
  <w:style w:type="character" w:styleId="a4">
    <w:name w:val="Intense Reference"/>
    <w:basedOn w:val="a0"/>
    <w:uiPriority w:val="32"/>
    <w:qFormat/>
    <w:rsid w:val="00364EA0"/>
    <w:rPr>
      <w:b/>
      <w:bCs/>
      <w:smallCaps/>
      <w:color w:val="C0504D" w:themeColor="accent2"/>
      <w:spacing w:val="5"/>
      <w:u w:val="single"/>
    </w:rPr>
  </w:style>
  <w:style w:type="paragraph" w:styleId="a5">
    <w:name w:val="Balloon Text"/>
    <w:basedOn w:val="a"/>
    <w:link w:val="Char0"/>
    <w:uiPriority w:val="99"/>
    <w:semiHidden/>
    <w:unhideWhenUsed/>
    <w:rsid w:val="00364EA0"/>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364EA0"/>
    <w:rPr>
      <w:rFonts w:ascii="Tahoma" w:hAnsi="Tahoma" w:cs="Tahoma"/>
      <w:sz w:val="16"/>
      <w:szCs w:val="16"/>
    </w:rPr>
  </w:style>
  <w:style w:type="paragraph" w:styleId="a6">
    <w:name w:val="List Paragraph"/>
    <w:basedOn w:val="a"/>
    <w:uiPriority w:val="34"/>
    <w:qFormat/>
    <w:rsid w:val="00A8489C"/>
    <w:pPr>
      <w:ind w:left="720"/>
      <w:contextualSpacing/>
    </w:pPr>
  </w:style>
  <w:style w:type="paragraph" w:styleId="a7">
    <w:name w:val="header"/>
    <w:basedOn w:val="a"/>
    <w:link w:val="Char1"/>
    <w:uiPriority w:val="99"/>
    <w:semiHidden/>
    <w:unhideWhenUsed/>
    <w:rsid w:val="00F75E51"/>
    <w:pPr>
      <w:tabs>
        <w:tab w:val="center" w:pos="4536"/>
        <w:tab w:val="right" w:pos="9072"/>
      </w:tabs>
      <w:spacing w:after="0" w:line="240" w:lineRule="auto"/>
    </w:pPr>
  </w:style>
  <w:style w:type="character" w:customStyle="1" w:styleId="Char1">
    <w:name w:val="رأس صفحة Char"/>
    <w:basedOn w:val="a0"/>
    <w:link w:val="a7"/>
    <w:uiPriority w:val="99"/>
    <w:semiHidden/>
    <w:rsid w:val="00F75E51"/>
  </w:style>
  <w:style w:type="paragraph" w:styleId="a8">
    <w:name w:val="footer"/>
    <w:basedOn w:val="a"/>
    <w:link w:val="Char2"/>
    <w:uiPriority w:val="99"/>
    <w:unhideWhenUsed/>
    <w:rsid w:val="00F75E51"/>
    <w:pPr>
      <w:tabs>
        <w:tab w:val="center" w:pos="4536"/>
        <w:tab w:val="right" w:pos="9072"/>
      </w:tabs>
      <w:spacing w:after="0" w:line="240" w:lineRule="auto"/>
    </w:pPr>
  </w:style>
  <w:style w:type="character" w:customStyle="1" w:styleId="Char2">
    <w:name w:val="تذييل صفحة Char"/>
    <w:basedOn w:val="a0"/>
    <w:link w:val="a8"/>
    <w:uiPriority w:val="99"/>
    <w:rsid w:val="00F75E51"/>
  </w:style>
  <w:style w:type="paragraph" w:styleId="a9">
    <w:name w:val="Body Text"/>
    <w:basedOn w:val="a"/>
    <w:link w:val="Char3"/>
    <w:uiPriority w:val="99"/>
    <w:unhideWhenUsed/>
    <w:rsid w:val="00343A27"/>
    <w:pPr>
      <w:autoSpaceDE w:val="0"/>
      <w:autoSpaceDN w:val="0"/>
      <w:spacing w:after="0" w:line="240" w:lineRule="auto"/>
      <w:jc w:val="both"/>
    </w:pPr>
    <w:rPr>
      <w:rFonts w:ascii="Verdana" w:eastAsia="Times New Roman" w:hAnsi="Verdana" w:cs="Verdana"/>
      <w:sz w:val="20"/>
      <w:szCs w:val="20"/>
      <w:lang w:eastAsia="fr-FR"/>
    </w:rPr>
  </w:style>
  <w:style w:type="character" w:customStyle="1" w:styleId="Char3">
    <w:name w:val="نص أساسي Char"/>
    <w:basedOn w:val="a0"/>
    <w:link w:val="a9"/>
    <w:uiPriority w:val="99"/>
    <w:rsid w:val="00343A27"/>
    <w:rPr>
      <w:rFonts w:ascii="Verdana" w:eastAsia="Times New Roman" w:hAnsi="Verdana" w:cs="Verdana"/>
      <w:sz w:val="20"/>
      <w:szCs w:val="20"/>
      <w:lang w:eastAsia="fr-FR"/>
    </w:rPr>
  </w:style>
  <w:style w:type="paragraph" w:styleId="aa">
    <w:name w:val="footnote text"/>
    <w:basedOn w:val="a"/>
    <w:link w:val="Char4"/>
    <w:uiPriority w:val="99"/>
    <w:semiHidden/>
    <w:unhideWhenUsed/>
    <w:rsid w:val="00343A27"/>
    <w:pPr>
      <w:spacing w:after="0" w:line="240" w:lineRule="auto"/>
    </w:pPr>
    <w:rPr>
      <w:sz w:val="20"/>
      <w:szCs w:val="20"/>
    </w:rPr>
  </w:style>
  <w:style w:type="character" w:customStyle="1" w:styleId="Char4">
    <w:name w:val="نص حاشية سفلية Char"/>
    <w:basedOn w:val="a0"/>
    <w:link w:val="aa"/>
    <w:uiPriority w:val="99"/>
    <w:semiHidden/>
    <w:rsid w:val="00343A27"/>
    <w:rPr>
      <w:sz w:val="20"/>
      <w:szCs w:val="20"/>
    </w:rPr>
  </w:style>
  <w:style w:type="character" w:styleId="ab">
    <w:name w:val="footnote reference"/>
    <w:basedOn w:val="a0"/>
    <w:uiPriority w:val="99"/>
    <w:semiHidden/>
    <w:unhideWhenUsed/>
    <w:rsid w:val="00343A2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6056</Characters>
  <Application>Microsoft Office Word</Application>
  <DocSecurity>0</DocSecurity>
  <Lines>50</Lines>
  <Paragraphs>14</Paragraphs>
  <ScaleCrop>false</ScaleCrop>
  <HeadingPairs>
    <vt:vector size="2" baseType="variant">
      <vt:variant>
        <vt:lpstr>العنوان</vt:lpstr>
      </vt:variant>
      <vt:variant>
        <vt:i4>1</vt:i4>
      </vt:variant>
    </vt:vector>
  </HeadingPairs>
  <TitlesOfParts>
    <vt:vector size="1" baseType="lpstr">
      <vt:lpstr/>
    </vt:vector>
  </TitlesOfParts>
  <Company>SPI</Company>
  <LinksUpToDate>false</LinksUpToDate>
  <CharactersWithSpaces>7142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2020-01-11T20:51:00Z</dcterms:created>
  <dcterms:modified xsi:type="dcterms:W3CDTF">2020-01-11T20:51:00Z</dcterms:modified>
</cp:coreProperties>
</file>